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E80" w:rsidP="004B6E80" w:rsidRDefault="004B6E80" w14:paraId="2D65EFA3" w14:textId="2CB1EE89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Latvijas Ģeotelpiskās </w:t>
      </w:r>
    </w:p>
    <w:p w:rsidR="004B6E80" w:rsidP="004B6E80" w:rsidRDefault="004B6E80" w14:paraId="3AA70C92" w14:textId="4118BA03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informācijas aģentūrai</w:t>
      </w:r>
    </w:p>
    <w:p w:rsidR="004B6E80" w:rsidP="004B6E80" w:rsidRDefault="004B6E80" w14:paraId="359A0B0A" w14:textId="6CA4E06D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nosūtīšanai e-adresē</w:t>
      </w:r>
    </w:p>
    <w:p w:rsidR="004B6E80" w:rsidP="004B6E80" w:rsidRDefault="004B6E80" w14:paraId="71A65BD7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4B6E80" w:rsidP="004B6E80" w:rsidRDefault="004B6E80" w14:paraId="161E45D0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4B6E80" w:rsidP="004B6E80" w:rsidRDefault="004B6E80" w14:paraId="2268F609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4B6E80" w:rsidP="004B6E80" w:rsidRDefault="004B6E80" w14:paraId="2FB376F6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4B6E80" w:rsidP="004B6E80" w:rsidRDefault="004B6E80" w14:paraId="12E77DFB" w14:textId="77777777">
      <w:pPr>
        <w:spacing w:after="0" w:line="240" w:lineRule="auto"/>
        <w:ind w:firstLine="567"/>
        <w:jc w:val="both"/>
        <w:rPr>
          <w:spacing w:val="-2"/>
        </w:rPr>
      </w:pPr>
      <w:r w:rsidRPr="009842F6">
        <w:rPr>
          <w:spacing w:val="-2"/>
        </w:rPr>
        <w:t xml:space="preserve">Precizējot Valsts valodas centra 2023. gada </w:t>
      </w:r>
      <w:r>
        <w:rPr>
          <w:spacing w:val="-2"/>
        </w:rPr>
        <w:t>4</w:t>
      </w:r>
      <w:r w:rsidRPr="009842F6">
        <w:rPr>
          <w:spacing w:val="-2"/>
        </w:rPr>
        <w:t>. jū</w:t>
      </w:r>
      <w:r>
        <w:rPr>
          <w:spacing w:val="-2"/>
        </w:rPr>
        <w:t>l</w:t>
      </w:r>
      <w:r w:rsidRPr="009842F6">
        <w:rPr>
          <w:spacing w:val="-2"/>
        </w:rPr>
        <w:t>ija atzinumu Nr. 1-16.1/43</w:t>
      </w:r>
      <w:r>
        <w:rPr>
          <w:spacing w:val="-2"/>
        </w:rPr>
        <w:t>9</w:t>
      </w:r>
      <w:r w:rsidRPr="009842F6">
        <w:rPr>
          <w:spacing w:val="-2"/>
        </w:rPr>
        <w:t xml:space="preserve"> "Par ieteikumiem oficiālo vietvārdu piešķiršanai dabas objektiem", izteikt tā pielikuma "</w:t>
      </w:r>
      <w:r>
        <w:rPr>
          <w:spacing w:val="-2"/>
        </w:rPr>
        <w:t>Ventspils</w:t>
      </w:r>
      <w:r w:rsidRPr="009842F6">
        <w:rPr>
          <w:spacing w:val="-2"/>
        </w:rPr>
        <w:t xml:space="preserve"> novada administratīvajā teritorijā esošo dabas objektu saraksts" tabulas</w:t>
      </w:r>
      <w:r>
        <w:rPr>
          <w:spacing w:val="-2"/>
        </w:rPr>
        <w:t xml:space="preserve"> 6. </w:t>
      </w:r>
      <w:r w:rsidRPr="009842F6">
        <w:rPr>
          <w:spacing w:val="-2"/>
        </w:rPr>
        <w:t xml:space="preserve">rindas ierakstu </w:t>
      </w:r>
      <w:r>
        <w:rPr>
          <w:spacing w:val="-2"/>
        </w:rPr>
        <w:t>š</w:t>
      </w:r>
      <w:r w:rsidRPr="009842F6">
        <w:rPr>
          <w:spacing w:val="-2"/>
        </w:rPr>
        <w:t>ādā redakcijā</w:t>
      </w:r>
      <w:r>
        <w:rPr>
          <w:spacing w:val="-2"/>
        </w:rPr>
        <w:t>:</w:t>
      </w:r>
    </w:p>
    <w:p w:rsidRPr="00812B44" w:rsidR="004B6E80" w:rsidP="004B6E80" w:rsidRDefault="004B6E80" w14:paraId="55D8CC04" w14:textId="77777777">
      <w:pPr>
        <w:spacing w:after="0" w:line="240" w:lineRule="auto"/>
        <w:ind w:firstLine="567"/>
        <w:jc w:val="both"/>
        <w:rPr>
          <w:spacing w:val="-2"/>
          <w:sz w:val="16"/>
          <w:szCs w:val="16"/>
        </w:rPr>
      </w:pPr>
    </w:p>
    <w:tbl>
      <w:tblPr>
        <w:tblStyle w:val="Reatabula"/>
        <w:tblW w:w="9705" w:type="dxa"/>
        <w:tblInd w:w="-147" w:type="dxa"/>
        <w:tblLook w:val="04A0" w:firstRow="1" w:lastRow="0" w:firstColumn="1" w:lastColumn="0" w:noHBand="0" w:noVBand="1"/>
      </w:tblPr>
      <w:tblGrid>
        <w:gridCol w:w="908"/>
        <w:gridCol w:w="1219"/>
        <w:gridCol w:w="1216"/>
        <w:gridCol w:w="907"/>
        <w:gridCol w:w="895"/>
        <w:gridCol w:w="1540"/>
        <w:gridCol w:w="799"/>
        <w:gridCol w:w="2221"/>
      </w:tblGrid>
      <w:tr w:rsidRPr="00CF5C4F" w:rsidR="004B6E80" w:rsidTr="00F9619C" w14:paraId="286E5EB9" w14:textId="77777777"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79179A61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198A6EC8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Objekta ID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6EC8A5BA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228ABDD1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Pamat-nosaukums VDB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6E80" w:rsidP="00F9619C" w:rsidRDefault="004B6E80" w14:paraId="3FA0CE79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171DBFBE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>
              <w:rPr>
                <w:rFonts w:ascii="Palemonas" w:hAnsi="Palemonas"/>
                <w:spacing w:val="-2"/>
                <w:sz w:val="20"/>
                <w:szCs w:val="20"/>
              </w:rPr>
              <w:t xml:space="preserve">Citi nosaukumi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6B518FF2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330C3266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Objekta veids VDB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75F633B7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012AEA52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Pagasts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666C028F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LVEK Vietvārdu apakškomisijas ieteikums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6E80" w:rsidP="00F9619C" w:rsidRDefault="004B6E80" w14:paraId="58AB1FAF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</w:p>
          <w:p w:rsidRPr="00CF5C4F" w:rsidR="004B6E80" w:rsidP="00F9619C" w:rsidRDefault="004B6E80" w14:paraId="37EB6BEB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>
              <w:rPr>
                <w:rFonts w:ascii="Palemonas" w:hAnsi="Palemonas"/>
                <w:spacing w:val="-2"/>
                <w:sz w:val="20"/>
                <w:szCs w:val="20"/>
              </w:rPr>
              <w:t>Izruna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5D97ED10" w14:textId="77777777">
            <w:pPr>
              <w:spacing w:after="0" w:line="240" w:lineRule="auto"/>
              <w:jc w:val="center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LU LVI Vietvārdu kartotēkā u. c. filoloģiskajos avotos fiksētā vietējā forma</w:t>
            </w:r>
          </w:p>
        </w:tc>
      </w:tr>
      <w:tr w:rsidRPr="00CF5C4F" w:rsidR="004B6E80" w:rsidTr="00F9619C" w14:paraId="449B78BA" w14:textId="77777777"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2D34A5DE" w14:textId="77777777">
            <w:pPr>
              <w:spacing w:before="60" w:after="60" w:line="240" w:lineRule="auto"/>
              <w:jc w:val="right"/>
              <w:rPr>
                <w:rFonts w:ascii="Palemonas" w:hAnsi="Palemonas"/>
                <w:spacing w:val="-2"/>
                <w:sz w:val="20"/>
                <w:szCs w:val="20"/>
              </w:rPr>
            </w:pPr>
            <w:r>
              <w:rPr>
                <w:rFonts w:ascii="Palemonas" w:hAnsi="Palemonas"/>
                <w:spacing w:val="-2"/>
                <w:sz w:val="20"/>
                <w:szCs w:val="20"/>
              </w:rPr>
              <w:t>75493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57CBF423" w14:textId="77777777">
            <w:pPr>
              <w:spacing w:before="60" w:after="60" w:line="240" w:lineRule="auto"/>
              <w:jc w:val="both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Garais ezers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4661CF49" w14:textId="77777777">
            <w:pPr>
              <w:spacing w:before="60" w:after="60" w:line="240" w:lineRule="auto"/>
              <w:jc w:val="both"/>
              <w:rPr>
                <w:rFonts w:ascii="Palemonas" w:hAnsi="Palemonas"/>
                <w:spacing w:val="-2"/>
                <w:sz w:val="20"/>
                <w:szCs w:val="20"/>
              </w:rPr>
            </w:pPr>
            <w:r>
              <w:rPr>
                <w:rFonts w:ascii="Palemonas" w:hAnsi="Palemonas"/>
                <w:spacing w:val="-2"/>
                <w:sz w:val="20"/>
                <w:szCs w:val="20"/>
              </w:rPr>
              <w:t>Garais ezers, Garezers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315A04ED" w14:textId="77777777">
            <w:pPr>
              <w:spacing w:before="60" w:after="60" w:line="240" w:lineRule="auto"/>
              <w:jc w:val="both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ezers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657BD708" w14:textId="77777777">
            <w:pPr>
              <w:spacing w:before="60" w:after="60" w:line="240" w:lineRule="auto"/>
              <w:jc w:val="both"/>
              <w:rPr>
                <w:rFonts w:ascii="Palemonas" w:hAnsi="Palemonas"/>
                <w:spacing w:val="-2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Ances pagasts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7AC8" w:rsidR="004B6E80" w:rsidP="00F9619C" w:rsidRDefault="004B6E80" w14:paraId="5AF52D10" w14:textId="77777777">
            <w:pPr>
              <w:spacing w:before="60" w:after="60" w:line="240" w:lineRule="auto"/>
              <w:jc w:val="both"/>
              <w:rPr>
                <w:rFonts w:ascii="Palemonas" w:hAnsi="Palemonas"/>
                <w:b/>
                <w:bCs/>
                <w:spacing w:val="-2"/>
                <w:sz w:val="20"/>
                <w:szCs w:val="20"/>
              </w:rPr>
            </w:pPr>
            <w:r w:rsidRPr="00DB7AC8">
              <w:rPr>
                <w:rFonts w:ascii="Palemonas" w:hAnsi="Palemonas"/>
                <w:b/>
                <w:bCs/>
                <w:spacing w:val="-2"/>
                <w:sz w:val="20"/>
                <w:szCs w:val="20"/>
              </w:rPr>
              <w:t xml:space="preserve">Garezers 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F5C4F" w:rsidR="004B6E80" w:rsidP="00F9619C" w:rsidRDefault="004B6E80" w14:paraId="0ACEB2E1" w14:textId="77777777">
            <w:pPr>
              <w:widowControl/>
              <w:spacing w:before="60" w:after="60" w:line="240" w:lineRule="auto"/>
              <w:rPr>
                <w:rFonts w:ascii="Palemonas" w:hAnsi="Palemonas" w:cs="Calibri"/>
                <w:color w:val="0000FF"/>
                <w:sz w:val="20"/>
                <w:szCs w:val="20"/>
              </w:rPr>
            </w:pP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[</w:t>
            </w:r>
            <w:r w:rsidRPr="00CF5C4F">
              <w:rPr>
                <w:rFonts w:ascii="Palemonas" w:hAnsi="Palemonas" w:cs="Calibri"/>
                <w:sz w:val="20"/>
                <w:szCs w:val="20"/>
              </w:rPr>
              <w:t>ȩ; ȩ</w:t>
            </w:r>
            <w:r w:rsidRPr="00CF5C4F">
              <w:rPr>
                <w:rFonts w:ascii="Palemonas" w:hAnsi="Palemonas"/>
                <w:spacing w:val="-2"/>
                <w:sz w:val="20"/>
                <w:szCs w:val="20"/>
              </w:rPr>
              <w:t>]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F5C4F" w:rsidR="004B6E80" w:rsidP="00F9619C" w:rsidRDefault="004B6E80" w14:paraId="36B12314" w14:textId="77777777">
            <w:pPr>
              <w:widowControl/>
              <w:spacing w:before="60" w:after="60" w:line="240" w:lineRule="auto"/>
              <w:rPr>
                <w:rFonts w:ascii="Palemonas" w:hAnsi="Palemonas" w:cs="Calibri"/>
                <w:color w:val="0000FF"/>
                <w:sz w:val="20"/>
                <w:szCs w:val="20"/>
              </w:rPr>
            </w:pPr>
            <w:proofErr w:type="spellStart"/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>Garȩs</w:t>
            </w:r>
            <w:proofErr w:type="spellEnd"/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>ȩzȩr̂s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ez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Ancē (starp Anci un jūrmalu) AV 1964; </w:t>
            </w:r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>Garezers</w:t>
            </w:r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Ancē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DzL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1985 &lt;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Liva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>Garȩsȩz</w:t>
            </w:r>
            <w:proofErr w:type="spellEnd"/>
            <w:r w:rsidRPr="00CF5C4F">
              <w:rPr>
                <w:rFonts w:ascii="Palemonas" w:hAnsi="Palemonas" w:cs="Calibri"/>
                <w:color w:val="0000FF"/>
                <w:sz w:val="20"/>
                <w:szCs w:val="20"/>
              </w:rPr>
              <w:t xml:space="preserve">. </w:t>
            </w:r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Pl I 277 </w:t>
            </w:r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br/>
              <w:t xml:space="preserve">[VDB: Garais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ez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., Garezers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Ūd-tilpes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1984; Garais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ez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Ld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 xml:space="preserve"> II 173, Sar. 2005; Garais ezers </w:t>
            </w:r>
            <w:proofErr w:type="spellStart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Pag.apr</w:t>
            </w:r>
            <w:proofErr w:type="spellEnd"/>
            <w:r w:rsidRPr="00CF5C4F">
              <w:rPr>
                <w:rFonts w:ascii="Palemonas" w:hAnsi="Palemonas" w:cs="Calibri"/>
                <w:color w:val="000000"/>
                <w:sz w:val="20"/>
                <w:szCs w:val="20"/>
              </w:rPr>
              <w:t>. 1935, ŪTK 2017; visās LĢIA kartēs Garais ezers]</w:t>
            </w:r>
          </w:p>
        </w:tc>
      </w:tr>
    </w:tbl>
    <w:p w:rsidRPr="00812B44" w:rsidR="004B6E80" w:rsidP="004B6E80" w:rsidRDefault="004B6E80" w14:paraId="1B7355D5" w14:textId="77777777">
      <w:pPr>
        <w:spacing w:after="0" w:line="240" w:lineRule="auto"/>
        <w:ind w:firstLine="709"/>
        <w:jc w:val="both"/>
        <w:rPr>
          <w:spacing w:val="-2"/>
          <w:sz w:val="16"/>
          <w:szCs w:val="16"/>
        </w:rPr>
      </w:pPr>
    </w:p>
    <w:p w:rsidR="004B6E80" w:rsidP="004B6E80" w:rsidRDefault="004B6E80" w14:paraId="32B09330" w14:textId="77777777">
      <w:pPr>
        <w:spacing w:after="0" w:line="240" w:lineRule="auto"/>
        <w:ind w:left="851" w:hanging="851"/>
        <w:jc w:val="both"/>
      </w:pPr>
      <w:r w:rsidRPr="00BB6C21">
        <w:t xml:space="preserve">Pamats: </w:t>
      </w:r>
      <w:r w:rsidRPr="00BB6C21">
        <w:tab/>
        <w:t>Ministru kabineta 2012. gada 10. janvāra noteikumu Nr. 50 "Vietvārdu informācijas noteikumi" 4., 5., 6., 17. punkts, 18.5. apakšpunkts, 27., 28., 30., 37. punkts; Valsts valodas centra Latviešu valodas ekspertu komisijas Vietvārdu apakškomisijas 202</w:t>
      </w:r>
      <w:r>
        <w:t>5</w:t>
      </w:r>
      <w:r w:rsidRPr="00BB6C21">
        <w:t>. gada 1</w:t>
      </w:r>
      <w:r>
        <w:t>5</w:t>
      </w:r>
      <w:r w:rsidRPr="00BB6C21">
        <w:t>. </w:t>
      </w:r>
      <w:r>
        <w:t>janvāra</w:t>
      </w:r>
      <w:r w:rsidRPr="00BB6C21">
        <w:t xml:space="preserve"> sēdes protokola </w:t>
      </w:r>
      <w:r>
        <w:t>1</w:t>
      </w:r>
      <w:r w:rsidRPr="00BB6C21">
        <w:t>. punkts.</w:t>
      </w:r>
    </w:p>
    <w:p w:rsidR="004B6E80" w:rsidP="00544AD7" w:rsidRDefault="004B6E80" w14:paraId="3B0B64DD" w14:textId="77777777">
      <w:pPr>
        <w:spacing w:after="0" w:line="240" w:lineRule="auto"/>
        <w:jc w:val="both"/>
      </w:pPr>
    </w:p>
    <w:p w:rsidR="004B6E80" w:rsidP="004B6E80" w:rsidRDefault="004B6E80" w14:paraId="3F29569D" w14:textId="77777777">
      <w:pPr>
        <w:pStyle w:val="Pamatteksts"/>
        <w:tabs>
          <w:tab w:val="left" w:pos="7797"/>
        </w:tabs>
        <w:rPr>
          <w:lang w:val="lv-LV"/>
        </w:rPr>
      </w:pPr>
      <w:r>
        <w:t>Direktora p. i.</w:t>
      </w:r>
      <w:r>
        <w:tab/>
      </w:r>
      <w:r>
        <w:rPr>
          <w:lang w:val="lv-LV"/>
        </w:rPr>
        <w:t>Madara Rēķe</w:t>
      </w:r>
    </w:p>
    <w:p w:rsidR="004B6E80" w:rsidP="004B6E80" w:rsidRDefault="004B6E80" w14:paraId="2FECA731" w14:textId="77777777">
      <w:pPr>
        <w:pStyle w:val="Pamatteksts"/>
      </w:pPr>
    </w:p>
    <w:p w:rsidR="00544AD7" w:rsidP="004B6E80" w:rsidRDefault="00544AD7" w14:paraId="1647A087" w14:textId="77777777">
      <w:pPr>
        <w:pStyle w:val="Pamatteksts"/>
      </w:pPr>
    </w:p>
    <w:p w:rsidRPr="00812B44" w:rsidR="004B6E80" w:rsidP="004B6E80" w:rsidRDefault="004B6E80" w14:paraId="24D6DAB2" w14:textId="77777777">
      <w:pPr>
        <w:pStyle w:val="Pamatteksts"/>
        <w:rPr>
          <w:sz w:val="20"/>
          <w:szCs w:val="20"/>
          <w:lang w:val="lv-LV"/>
        </w:rPr>
      </w:pPr>
      <w:r w:rsidRPr="00812B44">
        <w:rPr>
          <w:sz w:val="20"/>
          <w:szCs w:val="20"/>
          <w:lang w:val="lv-LV"/>
        </w:rPr>
        <w:t>Agris Timuška 67221281</w:t>
      </w:r>
    </w:p>
    <w:p w:rsidRPr="004B6E80" w:rsidR="00C85473" w:rsidP="004B6E80" w:rsidRDefault="004B6E80" w14:paraId="6B5F1630" w14:textId="65878E37">
      <w:pPr>
        <w:pStyle w:val="Pamatteksts"/>
        <w:rPr>
          <w:sz w:val="20"/>
          <w:szCs w:val="20"/>
          <w:lang w:val="lv-LV"/>
        </w:rPr>
      </w:pPr>
      <w:r w:rsidRPr="00812B44">
        <w:rPr>
          <w:sz w:val="20"/>
          <w:szCs w:val="20"/>
          <w:lang w:val="lv-LV"/>
        </w:rPr>
        <w:t>pasts@vvc.gov.lv</w:t>
      </w:r>
    </w:p>
    <w:sectPr w:rsidRPr="004B6E80" w:rsidR="00C85473" w:rsidSect="0054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851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Cambria"/>
    <w:charset w:val="00"/>
    <w:family w:val="roman"/>
    <w:pitch w:val="variable"/>
    <w:sig w:usb0="A00002EF" w:usb1="1000000E" w:usb2="0000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373877768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21.01.2025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1-16.1/26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3C72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4B6E80"/>
    <w:rsid w:val="005033FF"/>
    <w:rsid w:val="00535564"/>
    <w:rsid w:val="00544AD7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CC637B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16BBB"/>
    <w:rsid w:val="00F27CAF"/>
    <w:rsid w:val="00F61DB3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B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26</cp:revision>
  <cp:lastPrinted>2017-06-07T09:29:00Z</cp:lastPrinted>
  <dcterms:created xsi:type="dcterms:W3CDTF">2018-05-11T12:48:00Z</dcterms:created>
  <dcterms:modified xsi:type="dcterms:W3CDTF">2025-01-21T09:10:00Z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